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F24" w:rsidRDefault="0020758E" w:rsidP="0089623F">
      <w:pPr>
        <w:jc w:val="center"/>
        <w:rPr>
          <w:b/>
          <w:sz w:val="32"/>
        </w:rPr>
      </w:pPr>
      <w:r>
        <w:rPr>
          <w:b/>
          <w:noProof/>
          <w:sz w:val="32"/>
          <w:lang w:eastAsia="it-IT"/>
        </w:rPr>
        <w:drawing>
          <wp:anchor distT="0" distB="0" distL="114300" distR="114300" simplePos="0" relativeHeight="251659264" behindDoc="0" locked="0" layoutInCell="1" allowOverlap="1" wp14:anchorId="15F68BCB" wp14:editId="2E5DAF88">
            <wp:simplePos x="0" y="0"/>
            <wp:positionH relativeFrom="margin">
              <wp:align>right</wp:align>
            </wp:positionH>
            <wp:positionV relativeFrom="topMargin">
              <wp:align>bottom</wp:align>
            </wp:positionV>
            <wp:extent cx="1209675" cy="472529"/>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2.png"/>
                    <pic:cNvPicPr/>
                  </pic:nvPicPr>
                  <pic:blipFill>
                    <a:blip r:embed="rId8">
                      <a:extLst>
                        <a:ext uri="{28A0092B-C50C-407E-A947-70E740481C1C}">
                          <a14:useLocalDpi xmlns:a14="http://schemas.microsoft.com/office/drawing/2010/main" val="0"/>
                        </a:ext>
                      </a:extLst>
                    </a:blip>
                    <a:stretch>
                      <a:fillRect/>
                    </a:stretch>
                  </pic:blipFill>
                  <pic:spPr>
                    <a:xfrm>
                      <a:off x="0" y="0"/>
                      <a:ext cx="1209675" cy="472529"/>
                    </a:xfrm>
                    <a:prstGeom prst="rect">
                      <a:avLst/>
                    </a:prstGeom>
                  </pic:spPr>
                </pic:pic>
              </a:graphicData>
            </a:graphic>
          </wp:anchor>
        </w:drawing>
      </w:r>
      <w:r>
        <w:rPr>
          <w:b/>
          <w:noProof/>
          <w:sz w:val="32"/>
          <w:lang w:eastAsia="it-IT"/>
        </w:rPr>
        <w:drawing>
          <wp:anchor distT="0" distB="0" distL="114300" distR="114300" simplePos="0" relativeHeight="251658240" behindDoc="0" locked="0" layoutInCell="1" allowOverlap="1" wp14:anchorId="5A9C0EEE" wp14:editId="2FF59D39">
            <wp:simplePos x="0" y="0"/>
            <wp:positionH relativeFrom="margin">
              <wp:align>left</wp:align>
            </wp:positionH>
            <wp:positionV relativeFrom="topMargin">
              <wp:align>bottom</wp:align>
            </wp:positionV>
            <wp:extent cx="2343150" cy="41244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png"/>
                    <pic:cNvPicPr/>
                  </pic:nvPicPr>
                  <pic:blipFill>
                    <a:blip r:embed="rId9">
                      <a:extLst>
                        <a:ext uri="{28A0092B-C50C-407E-A947-70E740481C1C}">
                          <a14:useLocalDpi xmlns:a14="http://schemas.microsoft.com/office/drawing/2010/main" val="0"/>
                        </a:ext>
                      </a:extLst>
                    </a:blip>
                    <a:stretch>
                      <a:fillRect/>
                    </a:stretch>
                  </pic:blipFill>
                  <pic:spPr>
                    <a:xfrm>
                      <a:off x="0" y="0"/>
                      <a:ext cx="2343150" cy="412442"/>
                    </a:xfrm>
                    <a:prstGeom prst="rect">
                      <a:avLst/>
                    </a:prstGeom>
                  </pic:spPr>
                </pic:pic>
              </a:graphicData>
            </a:graphic>
          </wp:anchor>
        </w:drawing>
      </w:r>
    </w:p>
    <w:p w:rsidR="0089623F" w:rsidRPr="006A7783" w:rsidRDefault="0089623F" w:rsidP="0089623F">
      <w:pPr>
        <w:jc w:val="center"/>
        <w:rPr>
          <w:b/>
          <w:sz w:val="32"/>
        </w:rPr>
      </w:pPr>
      <w:r w:rsidRPr="0089623F">
        <w:rPr>
          <w:b/>
          <w:sz w:val="32"/>
        </w:rPr>
        <w:t xml:space="preserve">Il digitale ha il cuore dentro </w:t>
      </w:r>
    </w:p>
    <w:p w:rsidR="00E61BCF" w:rsidRPr="00470521" w:rsidRDefault="00E61BCF" w:rsidP="0089623F">
      <w:pPr>
        <w:widowControl w:val="0"/>
        <w:autoSpaceDE w:val="0"/>
        <w:autoSpaceDN w:val="0"/>
        <w:adjustRightInd w:val="0"/>
        <w:jc w:val="center"/>
        <w:rPr>
          <w:rFonts w:ascii="Calibri" w:hAnsi="Calibri" w:cs="Calibri"/>
          <w:i/>
          <w:sz w:val="28"/>
          <w:szCs w:val="22"/>
        </w:rPr>
      </w:pPr>
      <w:r w:rsidRPr="00470521">
        <w:rPr>
          <w:rFonts w:ascii="Calibri" w:hAnsi="Calibri" w:cs="Calibri"/>
          <w:i/>
          <w:sz w:val="28"/>
          <w:szCs w:val="22"/>
        </w:rPr>
        <w:t>Le persone e il</w:t>
      </w:r>
      <w:r w:rsidR="00470521">
        <w:rPr>
          <w:rFonts w:ascii="Calibri" w:hAnsi="Calibri" w:cs="Calibri"/>
          <w:i/>
          <w:sz w:val="28"/>
          <w:szCs w:val="22"/>
        </w:rPr>
        <w:t xml:space="preserve"> loro ruolo nel design dei servizi per </w:t>
      </w:r>
      <w:r w:rsidR="0089623F">
        <w:rPr>
          <w:rFonts w:ascii="Calibri" w:hAnsi="Calibri" w:cs="Calibri"/>
          <w:i/>
          <w:sz w:val="28"/>
          <w:szCs w:val="22"/>
        </w:rPr>
        <w:t>dare vita ad</w:t>
      </w:r>
      <w:r w:rsidRPr="00470521">
        <w:rPr>
          <w:rFonts w:ascii="Calibri" w:hAnsi="Calibri" w:cs="Calibri"/>
          <w:i/>
          <w:sz w:val="28"/>
          <w:szCs w:val="22"/>
        </w:rPr>
        <w:t xml:space="preserve"> esperienze </w:t>
      </w:r>
      <w:r w:rsidR="00470521">
        <w:rPr>
          <w:rFonts w:ascii="Calibri" w:hAnsi="Calibri" w:cs="Calibri"/>
          <w:i/>
          <w:sz w:val="28"/>
          <w:szCs w:val="22"/>
        </w:rPr>
        <w:t>digitali efficaci ed innovative</w:t>
      </w:r>
    </w:p>
    <w:p w:rsidR="00EB3EC4" w:rsidRPr="00B67A36" w:rsidRDefault="00EB3EC4" w:rsidP="000540AF">
      <w:pPr>
        <w:rPr>
          <w:rFonts w:ascii="Calibri" w:hAnsi="Calibri" w:cs="Calibri"/>
          <w:b/>
          <w:sz w:val="26"/>
          <w:szCs w:val="26"/>
        </w:rPr>
      </w:pPr>
    </w:p>
    <w:p w:rsidR="006A7783" w:rsidRPr="00353BC0" w:rsidRDefault="00B67A36" w:rsidP="0095699B">
      <w:pPr>
        <w:rPr>
          <w:rFonts w:ascii="Calibri" w:hAnsi="Calibri" w:cs="Calibri"/>
          <w:sz w:val="26"/>
          <w:szCs w:val="26"/>
        </w:rPr>
      </w:pPr>
      <w:r w:rsidRPr="00B67A36">
        <w:rPr>
          <w:rFonts w:ascii="Calibri" w:hAnsi="Calibri" w:cs="Calibri"/>
          <w:sz w:val="26"/>
          <w:szCs w:val="26"/>
        </w:rPr>
        <w:t>Milano, 1 ottobre -</w:t>
      </w:r>
      <w:r w:rsidRPr="00B67A36">
        <w:rPr>
          <w:rFonts w:ascii="Calibri" w:hAnsi="Calibri" w:cs="Calibri"/>
          <w:i/>
          <w:sz w:val="26"/>
          <w:szCs w:val="26"/>
        </w:rPr>
        <w:t xml:space="preserve"> </w:t>
      </w:r>
      <w:r w:rsidR="00EB3EC4" w:rsidRPr="00B67A36">
        <w:rPr>
          <w:rFonts w:ascii="Calibri" w:hAnsi="Calibri" w:cs="Calibri"/>
          <w:i/>
          <w:sz w:val="26"/>
          <w:szCs w:val="26"/>
        </w:rPr>
        <w:t>Humans at the heart of digital</w:t>
      </w:r>
      <w:r w:rsidR="00EB3EC4" w:rsidRPr="00B67A36">
        <w:rPr>
          <w:rFonts w:ascii="Calibri" w:hAnsi="Calibri" w:cs="Calibri"/>
          <w:sz w:val="26"/>
          <w:szCs w:val="26"/>
        </w:rPr>
        <w:t xml:space="preserve"> è questo il titolo dell’intervento di</w:t>
      </w:r>
      <w:r w:rsidR="00EB3EC4" w:rsidRPr="00353BC0">
        <w:rPr>
          <w:rFonts w:ascii="Calibri" w:hAnsi="Calibri" w:cs="Calibri"/>
          <w:sz w:val="26"/>
          <w:szCs w:val="26"/>
        </w:rPr>
        <w:t xml:space="preserve"> Frangino Lucarini, Business Design Director di Fjord, gruppo di Accenture Interactive specializzato in progettazione e innovazione nel service design</w:t>
      </w:r>
      <w:r w:rsidR="006A7783" w:rsidRPr="00353BC0">
        <w:rPr>
          <w:rFonts w:ascii="Calibri" w:hAnsi="Calibri" w:cs="Calibri"/>
          <w:sz w:val="26"/>
          <w:szCs w:val="26"/>
        </w:rPr>
        <w:t>, in occasione dei Brera Design Days.</w:t>
      </w:r>
    </w:p>
    <w:p w:rsidR="00523B64" w:rsidRPr="00353BC0" w:rsidRDefault="006C4777" w:rsidP="0095699B">
      <w:pPr>
        <w:rPr>
          <w:rFonts w:ascii="Calibri" w:hAnsi="Calibri" w:cs="Calibri"/>
          <w:sz w:val="26"/>
          <w:szCs w:val="26"/>
        </w:rPr>
      </w:pPr>
      <w:r w:rsidRPr="00353BC0">
        <w:rPr>
          <w:rFonts w:ascii="Calibri" w:hAnsi="Calibri" w:cs="Calibri"/>
          <w:sz w:val="26"/>
          <w:szCs w:val="26"/>
        </w:rPr>
        <w:t xml:space="preserve">La digitalizzazione ha cambiato profondamente l’idea di servizio: </w:t>
      </w:r>
      <w:r w:rsidR="00523B64" w:rsidRPr="00353BC0">
        <w:rPr>
          <w:rFonts w:ascii="Calibri" w:hAnsi="Calibri" w:cs="Calibri"/>
          <w:sz w:val="26"/>
          <w:szCs w:val="26"/>
        </w:rPr>
        <w:t>o</w:t>
      </w:r>
      <w:r w:rsidR="004301DC" w:rsidRPr="00353BC0">
        <w:rPr>
          <w:rFonts w:ascii="Calibri" w:hAnsi="Calibri" w:cs="Calibri"/>
          <w:sz w:val="26"/>
          <w:szCs w:val="26"/>
        </w:rPr>
        <w:t>ggi ognuno fruisce come consumatore e crea</w:t>
      </w:r>
      <w:r w:rsidR="0095699B" w:rsidRPr="00353BC0">
        <w:rPr>
          <w:rFonts w:ascii="Calibri" w:hAnsi="Calibri" w:cs="Calibri"/>
          <w:sz w:val="26"/>
          <w:szCs w:val="26"/>
        </w:rPr>
        <w:t xml:space="preserve"> come designer la terza era dei servizi digitali, </w:t>
      </w:r>
      <w:r w:rsidR="006A7783" w:rsidRPr="00353BC0">
        <w:rPr>
          <w:rFonts w:ascii="Calibri" w:hAnsi="Calibri" w:cs="Calibri"/>
          <w:sz w:val="26"/>
          <w:szCs w:val="26"/>
        </w:rPr>
        <w:t xml:space="preserve">quella </w:t>
      </w:r>
      <w:r w:rsidR="0095699B" w:rsidRPr="00353BC0">
        <w:rPr>
          <w:rFonts w:ascii="Calibri" w:hAnsi="Calibri" w:cs="Calibri"/>
          <w:sz w:val="26"/>
          <w:szCs w:val="26"/>
        </w:rPr>
        <w:t>che Fjord ha definito</w:t>
      </w:r>
      <w:r w:rsidR="00523B64" w:rsidRPr="00353BC0">
        <w:rPr>
          <w:rFonts w:ascii="Calibri" w:hAnsi="Calibri" w:cs="Calibri"/>
          <w:sz w:val="26"/>
          <w:szCs w:val="26"/>
        </w:rPr>
        <w:t xml:space="preserve"> </w:t>
      </w:r>
      <w:r w:rsidR="006A7783" w:rsidRPr="00353BC0">
        <w:rPr>
          <w:rFonts w:ascii="Calibri" w:hAnsi="Calibri" w:cs="Calibri"/>
          <w:sz w:val="26"/>
          <w:szCs w:val="26"/>
        </w:rPr>
        <w:t xml:space="preserve">i </w:t>
      </w:r>
      <w:r w:rsidR="0095699B" w:rsidRPr="00353BC0">
        <w:rPr>
          <w:rFonts w:ascii="Calibri" w:hAnsi="Calibri" w:cs="Calibri"/>
          <w:sz w:val="26"/>
          <w:szCs w:val="26"/>
        </w:rPr>
        <w:t>“Living Services”</w:t>
      </w:r>
      <w:r w:rsidR="006A7783" w:rsidRPr="00353BC0">
        <w:rPr>
          <w:rFonts w:ascii="Calibri" w:hAnsi="Calibri" w:cs="Calibri"/>
          <w:sz w:val="26"/>
          <w:szCs w:val="26"/>
        </w:rPr>
        <w:t xml:space="preserve">, ossia servizi </w:t>
      </w:r>
      <w:r w:rsidR="00651659" w:rsidRPr="00353BC0">
        <w:rPr>
          <w:rFonts w:ascii="Calibri" w:hAnsi="Calibri" w:cs="Calibri"/>
          <w:sz w:val="26"/>
          <w:szCs w:val="26"/>
        </w:rPr>
        <w:t xml:space="preserve">in grado di apprendere e adattarsi in tempo reale alle esigenze degli utenti e </w:t>
      </w:r>
      <w:r w:rsidR="00523B64" w:rsidRPr="00353BC0">
        <w:rPr>
          <w:rFonts w:ascii="Calibri" w:hAnsi="Calibri" w:cs="Calibri"/>
          <w:sz w:val="26"/>
          <w:szCs w:val="26"/>
        </w:rPr>
        <w:t>a</w:t>
      </w:r>
      <w:r w:rsidR="00651659" w:rsidRPr="00353BC0">
        <w:rPr>
          <w:rFonts w:ascii="Calibri" w:hAnsi="Calibri" w:cs="Calibri"/>
          <w:sz w:val="26"/>
          <w:szCs w:val="26"/>
        </w:rPr>
        <w:t xml:space="preserve">l contesto d’utilizzo. </w:t>
      </w:r>
    </w:p>
    <w:p w:rsidR="00523B64" w:rsidRPr="00353BC0" w:rsidRDefault="00523B64" w:rsidP="0095699B">
      <w:pPr>
        <w:rPr>
          <w:rFonts w:ascii="Calibri" w:hAnsi="Calibri" w:cs="Calibri"/>
          <w:sz w:val="26"/>
          <w:szCs w:val="26"/>
        </w:rPr>
      </w:pPr>
    </w:p>
    <w:p w:rsidR="0095699B" w:rsidRPr="00FF4E44" w:rsidRDefault="00C722C8" w:rsidP="0095699B">
      <w:pPr>
        <w:rPr>
          <w:rFonts w:ascii="Calibri" w:hAnsi="Calibri" w:cs="Calibri"/>
          <w:sz w:val="26"/>
          <w:szCs w:val="26"/>
        </w:rPr>
      </w:pPr>
      <w:r w:rsidRPr="00FF4E44">
        <w:rPr>
          <w:rFonts w:ascii="Calibri" w:hAnsi="Calibri" w:cs="Calibri"/>
          <w:sz w:val="26"/>
          <w:szCs w:val="26"/>
        </w:rPr>
        <w:t>L</w:t>
      </w:r>
      <w:r w:rsidR="006C4777" w:rsidRPr="00FF4E44">
        <w:rPr>
          <w:rFonts w:ascii="Calibri" w:hAnsi="Calibri" w:cs="Calibri"/>
          <w:sz w:val="26"/>
          <w:szCs w:val="26"/>
        </w:rPr>
        <w:t xml:space="preserve">e aziende hanno bisogno di comprendere come operare in questo nuovo contesto, in cui i concorrenti </w:t>
      </w:r>
      <w:r w:rsidR="004301DC" w:rsidRPr="00FF4E44">
        <w:rPr>
          <w:rFonts w:ascii="Calibri" w:hAnsi="Calibri" w:cs="Calibri"/>
          <w:sz w:val="26"/>
          <w:szCs w:val="26"/>
        </w:rPr>
        <w:t xml:space="preserve">non </w:t>
      </w:r>
      <w:r w:rsidR="006C4777" w:rsidRPr="00FF4E44">
        <w:rPr>
          <w:rFonts w:ascii="Calibri" w:hAnsi="Calibri" w:cs="Calibri"/>
          <w:sz w:val="26"/>
          <w:szCs w:val="26"/>
        </w:rPr>
        <w:t xml:space="preserve">sono </w:t>
      </w:r>
      <w:r w:rsidR="0095699B" w:rsidRPr="00FF4E44">
        <w:rPr>
          <w:rFonts w:ascii="Calibri" w:hAnsi="Calibri" w:cs="Calibri"/>
          <w:sz w:val="26"/>
          <w:szCs w:val="26"/>
        </w:rPr>
        <w:t>solo quelli diretti e specifici di ogni mercato</w:t>
      </w:r>
      <w:r w:rsidR="006C4777" w:rsidRPr="00FF4E44">
        <w:rPr>
          <w:rFonts w:ascii="Calibri" w:hAnsi="Calibri" w:cs="Calibri"/>
          <w:sz w:val="26"/>
          <w:szCs w:val="26"/>
        </w:rPr>
        <w:t>,</w:t>
      </w:r>
      <w:r w:rsidR="0095699B" w:rsidRPr="00FF4E44">
        <w:rPr>
          <w:rFonts w:ascii="Calibri" w:hAnsi="Calibri" w:cs="Calibri"/>
          <w:sz w:val="26"/>
          <w:szCs w:val="26"/>
        </w:rPr>
        <w:t xml:space="preserve"> ma </w:t>
      </w:r>
      <w:r w:rsidR="004301DC" w:rsidRPr="00FF4E44">
        <w:rPr>
          <w:rFonts w:ascii="Calibri" w:hAnsi="Calibri" w:cs="Calibri"/>
          <w:sz w:val="26"/>
          <w:szCs w:val="26"/>
        </w:rPr>
        <w:t>anche s</w:t>
      </w:r>
      <w:r w:rsidR="0095699B" w:rsidRPr="00FF4E44">
        <w:rPr>
          <w:rFonts w:ascii="Calibri" w:hAnsi="Calibri" w:cs="Calibri"/>
          <w:sz w:val="26"/>
          <w:szCs w:val="26"/>
        </w:rPr>
        <w:t>tart</w:t>
      </w:r>
      <w:r w:rsidR="006C4777" w:rsidRPr="00FF4E44">
        <w:rPr>
          <w:rFonts w:ascii="Calibri" w:hAnsi="Calibri" w:cs="Calibri"/>
          <w:sz w:val="26"/>
          <w:szCs w:val="26"/>
        </w:rPr>
        <w:t>-</w:t>
      </w:r>
      <w:r w:rsidR="0095699B" w:rsidRPr="00FF4E44">
        <w:rPr>
          <w:rFonts w:ascii="Calibri" w:hAnsi="Calibri" w:cs="Calibri"/>
          <w:sz w:val="26"/>
          <w:szCs w:val="26"/>
        </w:rPr>
        <w:t>up in grado di proporre servizi verticali ed estremamente semplificati o</w:t>
      </w:r>
      <w:r w:rsidR="004301DC" w:rsidRPr="00FF4E44">
        <w:rPr>
          <w:rFonts w:ascii="Calibri" w:hAnsi="Calibri" w:cs="Calibri"/>
          <w:sz w:val="26"/>
          <w:szCs w:val="26"/>
        </w:rPr>
        <w:t xml:space="preserve"> ancora </w:t>
      </w:r>
      <w:r w:rsidR="0095699B" w:rsidRPr="00FF4E44">
        <w:rPr>
          <w:rFonts w:ascii="Calibri" w:hAnsi="Calibri" w:cs="Calibri"/>
          <w:i/>
          <w:sz w:val="26"/>
          <w:szCs w:val="26"/>
        </w:rPr>
        <w:t>competitor esperienziali</w:t>
      </w:r>
      <w:r w:rsidR="00651659" w:rsidRPr="00FF4E44">
        <w:rPr>
          <w:rFonts w:ascii="Calibri" w:hAnsi="Calibri" w:cs="Calibri"/>
          <w:sz w:val="26"/>
          <w:szCs w:val="26"/>
        </w:rPr>
        <w:t>,</w:t>
      </w:r>
      <w:r w:rsidR="0095699B" w:rsidRPr="00FF4E44">
        <w:rPr>
          <w:rFonts w:ascii="Calibri" w:hAnsi="Calibri" w:cs="Calibri"/>
          <w:sz w:val="26"/>
          <w:szCs w:val="26"/>
        </w:rPr>
        <w:t xml:space="preserve"> ovvero </w:t>
      </w:r>
      <w:r w:rsidR="004301DC" w:rsidRPr="00FF4E44">
        <w:rPr>
          <w:rFonts w:ascii="Calibri" w:hAnsi="Calibri" w:cs="Calibri"/>
          <w:sz w:val="26"/>
          <w:szCs w:val="26"/>
        </w:rPr>
        <w:t>realtà</w:t>
      </w:r>
      <w:r w:rsidR="0095699B" w:rsidRPr="00FF4E44">
        <w:rPr>
          <w:rFonts w:ascii="Calibri" w:hAnsi="Calibri" w:cs="Calibri"/>
          <w:sz w:val="26"/>
          <w:szCs w:val="26"/>
        </w:rPr>
        <w:t xml:space="preserve"> come Facebook ed Amazon che con loro piattaforme plasmano le aspettative in termini di </w:t>
      </w:r>
      <w:r w:rsidR="004301DC" w:rsidRPr="00FF4E44">
        <w:rPr>
          <w:rFonts w:ascii="Calibri" w:hAnsi="Calibri" w:cs="Calibri"/>
          <w:sz w:val="26"/>
          <w:szCs w:val="26"/>
        </w:rPr>
        <w:t>u</w:t>
      </w:r>
      <w:r w:rsidR="0095699B" w:rsidRPr="00FF4E44">
        <w:rPr>
          <w:rFonts w:ascii="Calibri" w:hAnsi="Calibri" w:cs="Calibri"/>
          <w:sz w:val="26"/>
          <w:szCs w:val="26"/>
        </w:rPr>
        <w:t xml:space="preserve">ser </w:t>
      </w:r>
      <w:r w:rsidR="004301DC" w:rsidRPr="00FF4E44">
        <w:rPr>
          <w:rFonts w:ascii="Calibri" w:hAnsi="Calibri" w:cs="Calibri"/>
          <w:sz w:val="26"/>
          <w:szCs w:val="26"/>
        </w:rPr>
        <w:t>e</w:t>
      </w:r>
      <w:r w:rsidR="0095699B" w:rsidRPr="00FF4E44">
        <w:rPr>
          <w:rFonts w:ascii="Calibri" w:hAnsi="Calibri" w:cs="Calibri"/>
          <w:sz w:val="26"/>
          <w:szCs w:val="26"/>
        </w:rPr>
        <w:t>xperience</w:t>
      </w:r>
      <w:r w:rsidR="006C4777" w:rsidRPr="00FF4E44">
        <w:rPr>
          <w:rFonts w:ascii="Calibri" w:hAnsi="Calibri" w:cs="Calibri"/>
          <w:sz w:val="26"/>
          <w:szCs w:val="26"/>
        </w:rPr>
        <w:t xml:space="preserve"> e di qualità del servizio.</w:t>
      </w:r>
    </w:p>
    <w:p w:rsidR="0095699B" w:rsidRPr="00FF4E44" w:rsidRDefault="0095699B" w:rsidP="0095699B">
      <w:pPr>
        <w:rPr>
          <w:rFonts w:ascii="Calibri" w:hAnsi="Calibri" w:cs="Calibri"/>
          <w:sz w:val="26"/>
          <w:szCs w:val="26"/>
        </w:rPr>
      </w:pPr>
    </w:p>
    <w:p w:rsidR="004301DC" w:rsidRPr="00FF4E44" w:rsidRDefault="00651659" w:rsidP="004301DC">
      <w:pPr>
        <w:rPr>
          <w:rFonts w:ascii="Calibri" w:hAnsi="Calibri" w:cs="Calibri"/>
          <w:sz w:val="26"/>
          <w:szCs w:val="26"/>
        </w:rPr>
      </w:pPr>
      <w:r w:rsidRPr="00FF4E44">
        <w:rPr>
          <w:rFonts w:ascii="Calibri" w:hAnsi="Calibri" w:cs="Calibri"/>
          <w:sz w:val="26"/>
          <w:szCs w:val="26"/>
        </w:rPr>
        <w:t>R</w:t>
      </w:r>
      <w:r w:rsidR="004301DC" w:rsidRPr="00FF4E44">
        <w:rPr>
          <w:rFonts w:ascii="Calibri" w:hAnsi="Calibri" w:cs="Calibri"/>
          <w:sz w:val="26"/>
          <w:szCs w:val="26"/>
        </w:rPr>
        <w:t xml:space="preserve">ipensare il processo creativo e di innovazione </w:t>
      </w:r>
      <w:r w:rsidR="00C722C8" w:rsidRPr="00FF4E44">
        <w:rPr>
          <w:rFonts w:ascii="Calibri" w:hAnsi="Calibri" w:cs="Calibri"/>
          <w:sz w:val="26"/>
          <w:szCs w:val="26"/>
        </w:rPr>
        <w:t>è fondamentale per le aziende, che devono mettere</w:t>
      </w:r>
      <w:r w:rsidR="004301DC" w:rsidRPr="00FF4E44">
        <w:rPr>
          <w:rFonts w:ascii="Calibri" w:hAnsi="Calibri" w:cs="Calibri"/>
          <w:sz w:val="26"/>
          <w:szCs w:val="26"/>
        </w:rPr>
        <w:t xml:space="preserve"> in relazione </w:t>
      </w:r>
      <w:r w:rsidR="004301DC" w:rsidRPr="00FF4E44">
        <w:rPr>
          <w:rFonts w:ascii="Calibri" w:hAnsi="Calibri" w:cs="Calibri"/>
          <w:b/>
          <w:sz w:val="26"/>
          <w:szCs w:val="26"/>
        </w:rPr>
        <w:t>tre aspetti</w:t>
      </w:r>
      <w:r w:rsidR="004301DC" w:rsidRPr="00FF4E44">
        <w:rPr>
          <w:rFonts w:ascii="Calibri" w:hAnsi="Calibri" w:cs="Calibri"/>
          <w:sz w:val="26"/>
          <w:szCs w:val="26"/>
        </w:rPr>
        <w:t xml:space="preserve"> fondamentali</w:t>
      </w:r>
      <w:r w:rsidR="006823A6" w:rsidRPr="00FF4E44">
        <w:rPr>
          <w:rFonts w:ascii="Calibri" w:hAnsi="Calibri" w:cs="Calibri"/>
          <w:sz w:val="26"/>
          <w:szCs w:val="26"/>
        </w:rPr>
        <w:t xml:space="preserve">: </w:t>
      </w:r>
      <w:r w:rsidRPr="00FF4E44">
        <w:rPr>
          <w:rFonts w:ascii="Calibri" w:hAnsi="Calibri" w:cs="Calibri"/>
          <w:b/>
          <w:sz w:val="26"/>
          <w:szCs w:val="26"/>
        </w:rPr>
        <w:t xml:space="preserve">bisogni </w:t>
      </w:r>
      <w:r w:rsidR="00C722C8" w:rsidRPr="00FF4E44">
        <w:rPr>
          <w:rFonts w:ascii="Calibri" w:hAnsi="Calibri" w:cs="Calibri"/>
          <w:b/>
          <w:sz w:val="26"/>
          <w:szCs w:val="26"/>
        </w:rPr>
        <w:t xml:space="preserve">dei </w:t>
      </w:r>
      <w:r w:rsidR="004301DC" w:rsidRPr="00FF4E44">
        <w:rPr>
          <w:rFonts w:ascii="Calibri" w:hAnsi="Calibri" w:cs="Calibri"/>
          <w:b/>
          <w:sz w:val="26"/>
          <w:szCs w:val="26"/>
        </w:rPr>
        <w:t>consumatori</w:t>
      </w:r>
      <w:r w:rsidRPr="00FF4E44">
        <w:rPr>
          <w:rFonts w:ascii="Calibri" w:hAnsi="Calibri" w:cs="Calibri"/>
          <w:sz w:val="26"/>
          <w:szCs w:val="26"/>
        </w:rPr>
        <w:t xml:space="preserve">, </w:t>
      </w:r>
      <w:r w:rsidR="006823A6" w:rsidRPr="00FF4E44">
        <w:rPr>
          <w:rFonts w:ascii="Calibri" w:hAnsi="Calibri" w:cs="Calibri"/>
          <w:b/>
          <w:sz w:val="26"/>
          <w:szCs w:val="26"/>
        </w:rPr>
        <w:t xml:space="preserve">modelli </w:t>
      </w:r>
      <w:r w:rsidR="004301DC" w:rsidRPr="00FF4E44">
        <w:rPr>
          <w:rFonts w:ascii="Calibri" w:hAnsi="Calibri" w:cs="Calibri"/>
          <w:b/>
          <w:sz w:val="26"/>
          <w:szCs w:val="26"/>
        </w:rPr>
        <w:t>operativi</w:t>
      </w:r>
      <w:r w:rsidR="004301DC" w:rsidRPr="00FF4E44">
        <w:rPr>
          <w:rFonts w:ascii="Calibri" w:hAnsi="Calibri" w:cs="Calibri"/>
          <w:sz w:val="26"/>
          <w:szCs w:val="26"/>
        </w:rPr>
        <w:t xml:space="preserve"> e </w:t>
      </w:r>
      <w:r w:rsidR="004301DC" w:rsidRPr="00FF4E44">
        <w:rPr>
          <w:rFonts w:ascii="Calibri" w:hAnsi="Calibri" w:cs="Calibri"/>
          <w:b/>
          <w:sz w:val="26"/>
          <w:szCs w:val="26"/>
        </w:rPr>
        <w:t>abilitatori tecnologici</w:t>
      </w:r>
      <w:r w:rsidR="004301DC" w:rsidRPr="00FF4E44">
        <w:rPr>
          <w:rFonts w:ascii="Calibri" w:hAnsi="Calibri" w:cs="Calibri"/>
          <w:sz w:val="26"/>
          <w:szCs w:val="26"/>
        </w:rPr>
        <w:t xml:space="preserve"> alla base di ogni servizio</w:t>
      </w:r>
      <w:r w:rsidR="00C722C8" w:rsidRPr="00FF4E44">
        <w:rPr>
          <w:rFonts w:ascii="Calibri" w:hAnsi="Calibri" w:cs="Calibri"/>
          <w:sz w:val="26"/>
          <w:szCs w:val="26"/>
        </w:rPr>
        <w:t>, alla lu</w:t>
      </w:r>
      <w:r w:rsidR="00353BC0" w:rsidRPr="00FF4E44">
        <w:rPr>
          <w:rFonts w:ascii="Calibri" w:hAnsi="Calibri" w:cs="Calibri"/>
          <w:sz w:val="26"/>
          <w:szCs w:val="26"/>
        </w:rPr>
        <w:t>c</w:t>
      </w:r>
      <w:r w:rsidR="00C722C8" w:rsidRPr="00FF4E44">
        <w:rPr>
          <w:rFonts w:ascii="Calibri" w:hAnsi="Calibri" w:cs="Calibri"/>
          <w:sz w:val="26"/>
          <w:szCs w:val="26"/>
        </w:rPr>
        <w:t xml:space="preserve">e di alcune tendenze che </w:t>
      </w:r>
      <w:r w:rsidR="00353BC0" w:rsidRPr="00FF4E44">
        <w:rPr>
          <w:rFonts w:ascii="Calibri" w:hAnsi="Calibri" w:cs="Calibri"/>
          <w:sz w:val="26"/>
          <w:szCs w:val="26"/>
        </w:rPr>
        <w:t>secondo Accenture daranno forma alla prossima generazione di esperienze digitali.</w:t>
      </w:r>
    </w:p>
    <w:p w:rsidR="006A7783" w:rsidRPr="00FF4E44" w:rsidRDefault="006A7783" w:rsidP="00523B64">
      <w:pPr>
        <w:rPr>
          <w:rFonts w:cs="Arial"/>
          <w:b/>
          <w:i/>
          <w:sz w:val="26"/>
          <w:szCs w:val="26"/>
        </w:rPr>
      </w:pPr>
    </w:p>
    <w:p w:rsidR="00C722C8" w:rsidRPr="00FF4E44" w:rsidRDefault="000871F7" w:rsidP="00C722C8">
      <w:pPr>
        <w:rPr>
          <w:rFonts w:ascii="Calibri" w:hAnsi="Calibri" w:cs="Calibri"/>
          <w:sz w:val="26"/>
          <w:szCs w:val="26"/>
        </w:rPr>
      </w:pPr>
      <w:r w:rsidRPr="00FF4E44">
        <w:rPr>
          <w:rFonts w:ascii="Calibri" w:hAnsi="Calibri" w:cs="Calibri"/>
          <w:sz w:val="26"/>
          <w:szCs w:val="26"/>
        </w:rPr>
        <w:t xml:space="preserve">Temi su cui </w:t>
      </w:r>
      <w:r w:rsidR="00B67A36">
        <w:rPr>
          <w:rFonts w:ascii="Calibri" w:hAnsi="Calibri" w:cs="Calibri"/>
          <w:sz w:val="26"/>
          <w:szCs w:val="26"/>
        </w:rPr>
        <w:t>Accenture ha realizzato un’</w:t>
      </w:r>
      <w:r w:rsidRPr="00FF4E44">
        <w:rPr>
          <w:rFonts w:ascii="Calibri" w:hAnsi="Calibri" w:cs="Calibri"/>
          <w:sz w:val="26"/>
          <w:szCs w:val="26"/>
        </w:rPr>
        <w:t xml:space="preserve">indagine che ha coinvolto gli oltre 750 designer e sviluppatori di Fjord in tutto il mondo, professionisti impegnati in osservazioni dirette del cambiamento, attraverso studi e progetti svolti per i clienti accompagnati nel processo </w:t>
      </w:r>
      <w:r w:rsidR="00B67A36">
        <w:rPr>
          <w:rFonts w:ascii="Calibri" w:hAnsi="Calibri" w:cs="Calibri"/>
          <w:sz w:val="26"/>
          <w:szCs w:val="26"/>
        </w:rPr>
        <w:t>di trasformazione digitale.  Un’</w:t>
      </w:r>
      <w:r w:rsidRPr="00FF4E44">
        <w:rPr>
          <w:rFonts w:ascii="Calibri" w:hAnsi="Calibri" w:cs="Calibri"/>
          <w:sz w:val="26"/>
          <w:szCs w:val="26"/>
        </w:rPr>
        <w:t xml:space="preserve">osservazione sul campo che ha dato vita ai </w:t>
      </w:r>
      <w:r w:rsidR="00C722C8" w:rsidRPr="00FF4E44">
        <w:rPr>
          <w:rFonts w:ascii="Calibri" w:hAnsi="Calibri" w:cs="Calibri"/>
          <w:b/>
          <w:sz w:val="26"/>
          <w:szCs w:val="26"/>
        </w:rPr>
        <w:t>Fjord Trends 2016</w:t>
      </w:r>
      <w:r w:rsidRPr="00FF4E44">
        <w:rPr>
          <w:rFonts w:ascii="Calibri" w:hAnsi="Calibri" w:cs="Calibri"/>
          <w:b/>
          <w:sz w:val="26"/>
          <w:szCs w:val="26"/>
        </w:rPr>
        <w:t>:</w:t>
      </w:r>
    </w:p>
    <w:p w:rsidR="00523B64" w:rsidRPr="00FF4E44" w:rsidRDefault="00523B64" w:rsidP="00523B64">
      <w:pPr>
        <w:rPr>
          <w:sz w:val="26"/>
          <w:szCs w:val="26"/>
        </w:rPr>
      </w:pPr>
    </w:p>
    <w:p w:rsidR="00523B64" w:rsidRPr="00FF4E44" w:rsidRDefault="00523B64" w:rsidP="00523B64">
      <w:pPr>
        <w:pStyle w:val="ListParagraph1"/>
        <w:numPr>
          <w:ilvl w:val="0"/>
          <w:numId w:val="1"/>
        </w:numPr>
        <w:shd w:val="clear" w:color="auto" w:fill="D0CECE"/>
        <w:rPr>
          <w:rFonts w:asciiTheme="minorHAnsi" w:hAnsiTheme="minorHAnsi" w:cs="Arial"/>
          <w:b/>
          <w:color w:val="FF3399"/>
          <w:sz w:val="26"/>
          <w:szCs w:val="26"/>
        </w:rPr>
      </w:pPr>
      <w:r w:rsidRPr="00FF4E44">
        <w:rPr>
          <w:rFonts w:asciiTheme="minorHAnsi" w:hAnsiTheme="minorHAnsi" w:cs="Arial"/>
          <w:b/>
          <w:color w:val="FF3399"/>
          <w:sz w:val="26"/>
          <w:szCs w:val="26"/>
        </w:rPr>
        <w:t>Guarda. Gli oggetti ti ascoltano.</w:t>
      </w:r>
      <w:r w:rsidRPr="00FF4E44">
        <w:rPr>
          <w:rFonts w:asciiTheme="minorHAnsi" w:hAnsiTheme="minorHAnsi" w:cs="Arial"/>
          <w:sz w:val="26"/>
          <w:szCs w:val="26"/>
        </w:rPr>
        <w:t xml:space="preserve"> Oggi molti di noi utilizzano device che ci incoraggiano a correre di più o mangiare meglio. Dai wearables ai nearables, gli ultimi device di oggi ascoltano e rispondono. Che si tratti letteralmente di ascoltare i nostri comandi vocali, oppure i flussi di dati che creiamo, i device apprendono dagli utenti e rispondono in tempo reale attraverso la creazione di esperienze ad hoc, "micro-momenti".</w:t>
      </w:r>
    </w:p>
    <w:p w:rsidR="00523B64" w:rsidRPr="00FF4E44" w:rsidRDefault="00523B64" w:rsidP="00523B64">
      <w:pPr>
        <w:pStyle w:val="ListParagraph1"/>
        <w:numPr>
          <w:ilvl w:val="0"/>
          <w:numId w:val="1"/>
        </w:numPr>
        <w:shd w:val="clear" w:color="auto" w:fill="D0CECE"/>
        <w:rPr>
          <w:rFonts w:asciiTheme="minorHAnsi" w:hAnsiTheme="minorHAnsi" w:cs="Arial"/>
          <w:b/>
          <w:color w:val="FF3399"/>
          <w:sz w:val="26"/>
          <w:szCs w:val="26"/>
        </w:rPr>
      </w:pPr>
      <w:r w:rsidRPr="00FF4E44">
        <w:rPr>
          <w:rFonts w:asciiTheme="minorHAnsi" w:hAnsiTheme="minorHAnsi" w:cs="Arial"/>
          <w:b/>
          <w:color w:val="FF3399"/>
          <w:sz w:val="26"/>
          <w:szCs w:val="26"/>
        </w:rPr>
        <w:t>I servizi e le “buone maniere”.</w:t>
      </w:r>
      <w:r w:rsidRPr="00FF4E44">
        <w:rPr>
          <w:rFonts w:asciiTheme="minorHAnsi" w:hAnsiTheme="minorHAnsi" w:cs="Arial"/>
          <w:sz w:val="26"/>
          <w:szCs w:val="26"/>
        </w:rPr>
        <w:t xml:space="preserve"> La crescita dei big data impone una straordinaria responsabilità. Le aziende leader di mercato sanno che la fiducia digitale va guadagnata. Realtà come Microsoft hanno abbracciato il concetto di "Privacy by design", e stanno integrando da subito gli standard sulla privacy nelle nuove tecnologie e prodotti.</w:t>
      </w:r>
    </w:p>
    <w:p w:rsidR="00523B64" w:rsidRPr="00353BC0" w:rsidRDefault="00523B64" w:rsidP="00523B64">
      <w:pPr>
        <w:pStyle w:val="ListParagraph1"/>
        <w:numPr>
          <w:ilvl w:val="0"/>
          <w:numId w:val="1"/>
        </w:numPr>
        <w:shd w:val="clear" w:color="auto" w:fill="D0CECE"/>
        <w:rPr>
          <w:rFonts w:asciiTheme="minorHAnsi" w:hAnsiTheme="minorHAnsi" w:cs="Arial"/>
          <w:b/>
          <w:bCs/>
          <w:color w:val="FF3399"/>
          <w:sz w:val="26"/>
          <w:szCs w:val="26"/>
        </w:rPr>
      </w:pPr>
      <w:r w:rsidRPr="00353BC0">
        <w:rPr>
          <w:rFonts w:asciiTheme="minorHAnsi" w:hAnsiTheme="minorHAnsi" w:cs="Arial"/>
          <w:b/>
          <w:color w:val="FF3399"/>
          <w:sz w:val="26"/>
          <w:szCs w:val="26"/>
          <w:lang w:val="en-US"/>
        </w:rPr>
        <w:t xml:space="preserve">B2We </w:t>
      </w:r>
      <w:r w:rsidRPr="00353BC0">
        <w:rPr>
          <w:rFonts w:asciiTheme="minorHAnsi" w:hAnsiTheme="minorHAnsi" w:cs="Arial"/>
          <w:sz w:val="26"/>
          <w:szCs w:val="26"/>
          <w:lang w:val="en-US"/>
        </w:rPr>
        <w:t>(Business to working experience)</w:t>
      </w:r>
      <w:r w:rsidRPr="00353BC0">
        <w:rPr>
          <w:rFonts w:asciiTheme="minorHAnsi" w:hAnsiTheme="minorHAnsi" w:cs="Arial"/>
          <w:b/>
          <w:color w:val="FF3399"/>
          <w:sz w:val="26"/>
          <w:szCs w:val="26"/>
          <w:lang w:val="en-US"/>
        </w:rPr>
        <w:t>.</w:t>
      </w:r>
      <w:r w:rsidRPr="00353BC0">
        <w:rPr>
          <w:rFonts w:asciiTheme="minorHAnsi" w:hAnsiTheme="minorHAnsi" w:cs="Arial"/>
          <w:color w:val="FF3399"/>
          <w:sz w:val="26"/>
          <w:szCs w:val="26"/>
          <w:lang w:val="en-US"/>
        </w:rPr>
        <w:t xml:space="preserve"> </w:t>
      </w:r>
      <w:r w:rsidRPr="00353BC0">
        <w:rPr>
          <w:rFonts w:asciiTheme="minorHAnsi" w:hAnsiTheme="minorHAnsi" w:cs="Arial"/>
          <w:sz w:val="26"/>
          <w:szCs w:val="26"/>
        </w:rPr>
        <w:t xml:space="preserve">Le aspettative “liquide” si stanno riversando nella nostra vita lavorativa, ora ci si aspetta di poter avere gli stessi livelli di consumer experience anche sul posto di lavoro. C'è una nuova attenzione </w:t>
      </w:r>
      <w:r w:rsidRPr="00353BC0">
        <w:rPr>
          <w:rFonts w:asciiTheme="minorHAnsi" w:hAnsiTheme="minorHAnsi" w:cs="Arial"/>
          <w:sz w:val="26"/>
          <w:szCs w:val="26"/>
        </w:rPr>
        <w:lastRenderedPageBreak/>
        <w:t>all'employee experience (EX) design che sta rinnovando i processi, la struttura e la cultura del posto di lavoro.</w:t>
      </w:r>
    </w:p>
    <w:p w:rsidR="00523B64" w:rsidRPr="00353BC0" w:rsidRDefault="00523B64" w:rsidP="00523B64">
      <w:pPr>
        <w:pStyle w:val="ListParagraph1"/>
        <w:numPr>
          <w:ilvl w:val="0"/>
          <w:numId w:val="1"/>
        </w:numPr>
        <w:shd w:val="clear" w:color="auto" w:fill="D0CECE"/>
        <w:rPr>
          <w:rFonts w:asciiTheme="minorHAnsi" w:hAnsiTheme="minorHAnsi" w:cs="Arial"/>
          <w:b/>
          <w:color w:val="FF3399"/>
          <w:sz w:val="26"/>
          <w:szCs w:val="26"/>
        </w:rPr>
      </w:pPr>
      <w:r w:rsidRPr="00353BC0">
        <w:rPr>
          <w:rFonts w:asciiTheme="minorHAnsi" w:hAnsiTheme="minorHAnsi" w:cs="Arial"/>
          <w:b/>
          <w:bCs/>
          <w:color w:val="FF3399"/>
          <w:sz w:val="26"/>
          <w:szCs w:val="26"/>
        </w:rPr>
        <w:t>La sco</w:t>
      </w:r>
      <w:r w:rsidRPr="00353BC0">
        <w:rPr>
          <w:rFonts w:asciiTheme="minorHAnsi" w:hAnsiTheme="minorHAnsi" w:cs="Arial"/>
          <w:b/>
          <w:color w:val="FF3399"/>
          <w:sz w:val="26"/>
          <w:szCs w:val="26"/>
        </w:rPr>
        <w:t>mparsa delle app.</w:t>
      </w:r>
      <w:r w:rsidRPr="00353BC0">
        <w:rPr>
          <w:rFonts w:asciiTheme="minorHAnsi" w:hAnsiTheme="minorHAnsi" w:cs="Arial"/>
          <w:sz w:val="26"/>
          <w:szCs w:val="26"/>
        </w:rPr>
        <w:t xml:space="preserve"> Tutta quella quantità di applicazioni monouso della nostra vita quotidiana sparirà man mano che esse verranno distribuite su piattaforme o atomizzate in servizi di terze parti. La prossima ondata di app potrebbe anche non richiedere l'interazione umana per essere attivata.</w:t>
      </w:r>
    </w:p>
    <w:p w:rsidR="00523B64" w:rsidRPr="00353BC0" w:rsidRDefault="00523B64" w:rsidP="00523B64">
      <w:pPr>
        <w:pStyle w:val="ListParagraph1"/>
        <w:numPr>
          <w:ilvl w:val="0"/>
          <w:numId w:val="1"/>
        </w:numPr>
        <w:shd w:val="clear" w:color="auto" w:fill="D0CECE"/>
        <w:rPr>
          <w:rFonts w:asciiTheme="minorHAnsi" w:hAnsiTheme="minorHAnsi" w:cs="Arial"/>
          <w:b/>
          <w:bCs/>
          <w:color w:val="FF3399"/>
          <w:sz w:val="26"/>
          <w:szCs w:val="26"/>
        </w:rPr>
      </w:pPr>
      <w:r w:rsidRPr="00353BC0">
        <w:rPr>
          <w:rFonts w:asciiTheme="minorHAnsi" w:hAnsiTheme="minorHAnsi" w:cs="Arial"/>
          <w:b/>
          <w:color w:val="FF3399"/>
          <w:sz w:val="26"/>
          <w:szCs w:val="26"/>
        </w:rPr>
        <w:t>La democratizzazione del lusso.</w:t>
      </w:r>
      <w:r w:rsidRPr="00353BC0">
        <w:rPr>
          <w:rFonts w:asciiTheme="minorHAnsi" w:hAnsiTheme="minorHAnsi" w:cs="Arial"/>
          <w:sz w:val="26"/>
          <w:szCs w:val="26"/>
        </w:rPr>
        <w:t xml:space="preserve"> La digital experience ha democratizzato il lusso ed elevato il nostro standard di vita – rendendo accessibili a tutti servizi una volta appannaggio di poche persone come l'autista personale (vedi Lyft) o l'assistente virtuale (vedi Facebook M).</w:t>
      </w:r>
    </w:p>
    <w:p w:rsidR="00523B64" w:rsidRPr="00353BC0" w:rsidRDefault="00523B64" w:rsidP="00523B64">
      <w:pPr>
        <w:pStyle w:val="ListParagraph1"/>
        <w:numPr>
          <w:ilvl w:val="0"/>
          <w:numId w:val="1"/>
        </w:numPr>
        <w:shd w:val="clear" w:color="auto" w:fill="D0CECE"/>
        <w:rPr>
          <w:rFonts w:asciiTheme="minorHAnsi" w:hAnsiTheme="minorHAnsi" w:cs="Arial"/>
          <w:b/>
          <w:color w:val="FF3399"/>
          <w:sz w:val="26"/>
          <w:szCs w:val="26"/>
        </w:rPr>
      </w:pPr>
      <w:r w:rsidRPr="00353BC0">
        <w:rPr>
          <w:rFonts w:asciiTheme="minorHAnsi" w:hAnsiTheme="minorHAnsi" w:cs="Arial"/>
          <w:b/>
          <w:bCs/>
          <w:color w:val="FF3399"/>
          <w:sz w:val="26"/>
          <w:szCs w:val="26"/>
        </w:rPr>
        <w:t>Con il design la Pubblica Amministrazione si avvicina.</w:t>
      </w:r>
      <w:r w:rsidRPr="00353BC0">
        <w:rPr>
          <w:rFonts w:asciiTheme="minorHAnsi" w:hAnsiTheme="minorHAnsi" w:cs="Arial"/>
          <w:sz w:val="26"/>
          <w:szCs w:val="26"/>
        </w:rPr>
        <w:t xml:space="preserve"> I governi stanno ripensando la citizen experience, passando da un approccio unico valido per tutti a servizi su misura personalizzati in base ai bisogni individuali. Negli Stati Uniti e nel Regno Unito la pubblica amministrazione ha ridisegnato l’esperienza digitale dei cittadini, producendo anche delle guide dettagliate in merito.</w:t>
      </w:r>
    </w:p>
    <w:p w:rsidR="00523B64" w:rsidRPr="00353BC0" w:rsidRDefault="00523B64" w:rsidP="00523B64">
      <w:pPr>
        <w:pStyle w:val="ListParagraph1"/>
        <w:numPr>
          <w:ilvl w:val="0"/>
          <w:numId w:val="1"/>
        </w:numPr>
        <w:shd w:val="clear" w:color="auto" w:fill="D0CECE"/>
        <w:rPr>
          <w:rFonts w:asciiTheme="minorHAnsi" w:hAnsiTheme="minorHAnsi" w:cs="Arial"/>
          <w:b/>
          <w:color w:val="FF3399"/>
          <w:sz w:val="26"/>
          <w:szCs w:val="26"/>
        </w:rPr>
      </w:pPr>
      <w:r w:rsidRPr="00353BC0">
        <w:rPr>
          <w:rFonts w:asciiTheme="minorHAnsi" w:hAnsiTheme="minorHAnsi" w:cs="Arial"/>
          <w:b/>
          <w:color w:val="FF3399"/>
          <w:sz w:val="26"/>
          <w:szCs w:val="26"/>
        </w:rPr>
        <w:t>Salute, la nuova ricchezza.</w:t>
      </w:r>
      <w:r w:rsidRPr="00353BC0">
        <w:rPr>
          <w:rFonts w:asciiTheme="minorHAnsi" w:hAnsiTheme="minorHAnsi" w:cs="Arial"/>
          <w:sz w:val="26"/>
          <w:szCs w:val="26"/>
        </w:rPr>
        <w:t xml:space="preserve"> La capacità di monitorare, attraverso la tecnologia, il proprio stato di salute non è più dominio di un piccolo gruppo di esperti, sono sempre di più i consumatori che usano la tecnologia per misurare il loro benessere. Negli Stati Uniti agenzie assicurative come Kaiser Permanente ed Aetna stanno aprendo le loro piattaforme a terze parti per consentire la creazione di servizi di </w:t>
      </w:r>
      <w:r w:rsidRPr="00353BC0">
        <w:rPr>
          <w:rFonts w:asciiTheme="minorHAnsi" w:hAnsiTheme="minorHAnsi" w:cs="Arial"/>
          <w:i/>
          <w:sz w:val="26"/>
          <w:szCs w:val="26"/>
        </w:rPr>
        <w:t>Quantified Self</w:t>
      </w:r>
      <w:r w:rsidRPr="00353BC0">
        <w:rPr>
          <w:rFonts w:asciiTheme="minorHAnsi" w:hAnsiTheme="minorHAnsi" w:cs="Arial"/>
          <w:sz w:val="26"/>
          <w:szCs w:val="26"/>
        </w:rPr>
        <w:t>, sulla base dei dati a loro disposizione integrati con wearables, app e servizi di terze parti.</w:t>
      </w:r>
    </w:p>
    <w:p w:rsidR="00523B64" w:rsidRPr="00353BC0" w:rsidRDefault="00523B64" w:rsidP="00523B64">
      <w:pPr>
        <w:pStyle w:val="ListParagraph1"/>
        <w:numPr>
          <w:ilvl w:val="0"/>
          <w:numId w:val="1"/>
        </w:numPr>
        <w:shd w:val="clear" w:color="auto" w:fill="D0CECE"/>
        <w:rPr>
          <w:rFonts w:asciiTheme="minorHAnsi" w:hAnsiTheme="minorHAnsi" w:cs="Arial"/>
          <w:b/>
          <w:color w:val="FF3399"/>
          <w:sz w:val="26"/>
          <w:szCs w:val="26"/>
        </w:rPr>
      </w:pPr>
      <w:r w:rsidRPr="00353BC0">
        <w:rPr>
          <w:rFonts w:asciiTheme="minorHAnsi" w:hAnsiTheme="minorHAnsi" w:cs="Arial"/>
          <w:b/>
          <w:color w:val="FF3399"/>
          <w:sz w:val="26"/>
          <w:szCs w:val="26"/>
        </w:rPr>
        <w:t>La Realtà Virtuale (VR) diventa realtà.</w:t>
      </w:r>
      <w:r w:rsidRPr="00353BC0">
        <w:rPr>
          <w:rFonts w:asciiTheme="minorHAnsi" w:hAnsiTheme="minorHAnsi" w:cs="Arial"/>
          <w:sz w:val="26"/>
          <w:szCs w:val="26"/>
        </w:rPr>
        <w:t xml:space="preserve"> Non più una fantasia futuristica, la VR farà nel 2016 il suo debutto nel mainstream, con le prime versioni consumer di prodotti come Sony, Oculus e Samsung pronte a entrare sul mercato. La VR supererà i confini del gioco per trovare nuovi utilizzi, dalla ricerca scientifica al turismo virtuale, all'apprendimento immersivo.</w:t>
      </w:r>
    </w:p>
    <w:p w:rsidR="00523B64" w:rsidRPr="00353BC0" w:rsidRDefault="00523B64" w:rsidP="00523B64">
      <w:pPr>
        <w:pStyle w:val="ListParagraph1"/>
        <w:numPr>
          <w:ilvl w:val="0"/>
          <w:numId w:val="1"/>
        </w:numPr>
        <w:shd w:val="clear" w:color="auto" w:fill="D0CECE"/>
        <w:rPr>
          <w:rFonts w:asciiTheme="minorHAnsi" w:hAnsiTheme="minorHAnsi" w:cs="Arial"/>
          <w:b/>
          <w:color w:val="FF3399"/>
          <w:sz w:val="26"/>
          <w:szCs w:val="26"/>
        </w:rPr>
      </w:pPr>
      <w:r w:rsidRPr="00353BC0">
        <w:rPr>
          <w:rFonts w:asciiTheme="minorHAnsi" w:hAnsiTheme="minorHAnsi" w:cs="Arial"/>
          <w:b/>
          <w:color w:val="FF3399"/>
          <w:sz w:val="26"/>
          <w:szCs w:val="26"/>
        </w:rPr>
        <w:t>Dover pensare a meno cose.</w:t>
      </w:r>
      <w:r w:rsidRPr="00353BC0">
        <w:rPr>
          <w:rFonts w:asciiTheme="minorHAnsi" w:hAnsiTheme="minorHAnsi" w:cs="Arial"/>
          <w:sz w:val="26"/>
          <w:szCs w:val="26"/>
        </w:rPr>
        <w:t xml:space="preserve"> La velocità dell'innovazione porta con sé un ciclo senza fine di decisioni e scelte. I servizi in grado di anticipare le esigenze dei consumatori suggerendo soluzioni o automatizzando le decisioni più semplici, come Google “Now on Tap”, possono facilitare la vita dei consumatori.</w:t>
      </w:r>
    </w:p>
    <w:p w:rsidR="00523B64" w:rsidRPr="00353BC0" w:rsidRDefault="00523B64" w:rsidP="00523B64">
      <w:pPr>
        <w:pStyle w:val="ListParagraph1"/>
        <w:numPr>
          <w:ilvl w:val="0"/>
          <w:numId w:val="1"/>
        </w:numPr>
        <w:shd w:val="clear" w:color="auto" w:fill="D0CECE"/>
        <w:rPr>
          <w:rFonts w:asciiTheme="minorHAnsi" w:hAnsiTheme="minorHAnsi" w:cs="Arial"/>
          <w:sz w:val="26"/>
          <w:szCs w:val="26"/>
        </w:rPr>
      </w:pPr>
      <w:r w:rsidRPr="00353BC0">
        <w:rPr>
          <w:rFonts w:asciiTheme="minorHAnsi" w:hAnsiTheme="minorHAnsi" w:cs="Arial"/>
          <w:b/>
          <w:color w:val="FF3399"/>
          <w:sz w:val="26"/>
          <w:szCs w:val="26"/>
        </w:rPr>
        <w:t>Verso il Design Doing.</w:t>
      </w:r>
      <w:r w:rsidRPr="00353BC0">
        <w:rPr>
          <w:rFonts w:asciiTheme="minorHAnsi" w:hAnsiTheme="minorHAnsi" w:cs="Arial"/>
          <w:sz w:val="26"/>
          <w:szCs w:val="26"/>
        </w:rPr>
        <w:t xml:space="preserve"> Le aziende stanno usando il </w:t>
      </w:r>
      <w:r w:rsidRPr="00353BC0">
        <w:rPr>
          <w:rFonts w:asciiTheme="minorHAnsi" w:hAnsiTheme="minorHAnsi" w:cs="Arial"/>
          <w:i/>
          <w:sz w:val="26"/>
          <w:szCs w:val="26"/>
        </w:rPr>
        <w:t>design thinking</w:t>
      </w:r>
      <w:r w:rsidRPr="00353BC0">
        <w:rPr>
          <w:rFonts w:asciiTheme="minorHAnsi" w:hAnsiTheme="minorHAnsi" w:cs="Arial"/>
          <w:sz w:val="26"/>
          <w:szCs w:val="26"/>
        </w:rPr>
        <w:t xml:space="preserve"> per promuovere internamente il cambiamento. L’adozione di un approccio incentrato sulle persone e sul service design può infatti permettere loro di trovare nuove soluzioni per processi all’interno dell’organizzazione. Tuttavia è con il passaggio al </w:t>
      </w:r>
      <w:r w:rsidRPr="00353BC0">
        <w:rPr>
          <w:rFonts w:asciiTheme="minorHAnsi" w:hAnsiTheme="minorHAnsi" w:cs="Arial"/>
          <w:i/>
          <w:sz w:val="26"/>
          <w:szCs w:val="26"/>
        </w:rPr>
        <w:t>design doing</w:t>
      </w:r>
      <w:r w:rsidRPr="00353BC0">
        <w:rPr>
          <w:rFonts w:asciiTheme="minorHAnsi" w:hAnsiTheme="minorHAnsi" w:cs="Arial"/>
          <w:sz w:val="26"/>
          <w:szCs w:val="26"/>
        </w:rPr>
        <w:t xml:space="preserve"> che ci sarà il vero cambiamento. </w:t>
      </w:r>
    </w:p>
    <w:p w:rsidR="00523B64" w:rsidRPr="00353BC0" w:rsidRDefault="00523B64" w:rsidP="00523B64">
      <w:pPr>
        <w:tabs>
          <w:tab w:val="left" w:pos="6270"/>
        </w:tabs>
        <w:rPr>
          <w:rFonts w:cs="Arial"/>
          <w:sz w:val="26"/>
          <w:szCs w:val="26"/>
        </w:rPr>
      </w:pPr>
      <w:r w:rsidRPr="00353BC0">
        <w:rPr>
          <w:rFonts w:cs="Arial"/>
          <w:sz w:val="26"/>
          <w:szCs w:val="26"/>
        </w:rPr>
        <w:tab/>
      </w:r>
    </w:p>
    <w:p w:rsidR="00523B64" w:rsidRPr="00353BC0" w:rsidRDefault="00523B64" w:rsidP="00523B64">
      <w:pPr>
        <w:rPr>
          <w:sz w:val="26"/>
          <w:szCs w:val="26"/>
        </w:rPr>
      </w:pPr>
      <w:r w:rsidRPr="00353BC0">
        <w:rPr>
          <w:rFonts w:cs="Arial"/>
          <w:sz w:val="26"/>
          <w:szCs w:val="26"/>
        </w:rPr>
        <w:t xml:space="preserve">Per consultare il rapporto completo, visita il sito </w:t>
      </w:r>
      <w:hyperlink r:id="rId10" w:history="1">
        <w:r w:rsidRPr="00353BC0">
          <w:rPr>
            <w:rStyle w:val="Hyperlink"/>
            <w:rFonts w:cs="Arial"/>
            <w:sz w:val="26"/>
            <w:szCs w:val="26"/>
          </w:rPr>
          <w:t>trends.fjordnet.com</w:t>
        </w:r>
      </w:hyperlink>
      <w:r w:rsidRPr="00353BC0">
        <w:rPr>
          <w:sz w:val="26"/>
          <w:szCs w:val="26"/>
        </w:rPr>
        <w:t>,</w:t>
      </w:r>
      <w:r w:rsidRPr="00353BC0">
        <w:rPr>
          <w:rFonts w:cs="Arial"/>
          <w:sz w:val="26"/>
          <w:szCs w:val="26"/>
        </w:rPr>
        <w:t xml:space="preserve"> condividi i tuoi commenti su </w:t>
      </w:r>
      <w:hyperlink r:id="rId11" w:history="1">
        <w:r w:rsidRPr="00353BC0">
          <w:rPr>
            <w:rStyle w:val="Hyperlink"/>
            <w:rFonts w:cs="Arial"/>
            <w:sz w:val="26"/>
            <w:szCs w:val="26"/>
          </w:rPr>
          <w:t>Slideshare</w:t>
        </w:r>
      </w:hyperlink>
      <w:r w:rsidRPr="00353BC0">
        <w:rPr>
          <w:sz w:val="26"/>
          <w:szCs w:val="26"/>
        </w:rPr>
        <w:t>,</w:t>
      </w:r>
      <w:r w:rsidRPr="00353BC0">
        <w:rPr>
          <w:rFonts w:cs="Arial"/>
          <w:sz w:val="26"/>
          <w:szCs w:val="26"/>
        </w:rPr>
        <w:t xml:space="preserve"> seguici su twitter </w:t>
      </w:r>
      <w:hyperlink r:id="rId12" w:history="1">
        <w:r w:rsidRPr="00353BC0">
          <w:rPr>
            <w:rStyle w:val="Hyperlink"/>
            <w:rFonts w:cs="Arial"/>
            <w:sz w:val="26"/>
            <w:szCs w:val="26"/>
            <w:lang w:eastAsia="hi-IN" w:bidi="hi-IN"/>
          </w:rPr>
          <w:t>@accentureitalia</w:t>
        </w:r>
      </w:hyperlink>
      <w:r w:rsidRPr="00353BC0">
        <w:rPr>
          <w:rFonts w:cs="Arial"/>
          <w:sz w:val="26"/>
          <w:szCs w:val="26"/>
        </w:rPr>
        <w:t xml:space="preserve"> </w:t>
      </w:r>
      <w:hyperlink r:id="rId13" w:history="1">
        <w:r w:rsidRPr="00353BC0">
          <w:rPr>
            <w:rStyle w:val="Hyperlink"/>
            <w:rFonts w:cs="Arial"/>
            <w:sz w:val="26"/>
            <w:szCs w:val="26"/>
            <w:lang w:eastAsia="hi-IN" w:bidi="hi-IN"/>
          </w:rPr>
          <w:t>@fjord</w:t>
        </w:r>
      </w:hyperlink>
    </w:p>
    <w:p w:rsidR="00523B64" w:rsidRPr="00353BC0" w:rsidRDefault="00523B64" w:rsidP="00523B64">
      <w:pPr>
        <w:rPr>
          <w:rFonts w:cs="Arial"/>
          <w:b/>
          <w:bCs/>
          <w:color w:val="000000"/>
          <w:sz w:val="26"/>
          <w:szCs w:val="26"/>
        </w:rPr>
      </w:pPr>
    </w:p>
    <w:p w:rsidR="00523B64" w:rsidRPr="00353BC0" w:rsidRDefault="00523B64" w:rsidP="00523B64">
      <w:pPr>
        <w:rPr>
          <w:rFonts w:cs="Arial"/>
          <w:b/>
          <w:bCs/>
          <w:color w:val="000000"/>
          <w:sz w:val="26"/>
          <w:szCs w:val="26"/>
        </w:rPr>
      </w:pPr>
      <w:bookmarkStart w:id="0" w:name="_GoBack"/>
      <w:bookmarkEnd w:id="0"/>
      <w:r w:rsidRPr="00353BC0">
        <w:rPr>
          <w:rFonts w:cs="Arial"/>
          <w:b/>
          <w:bCs/>
          <w:color w:val="000000"/>
          <w:sz w:val="26"/>
          <w:szCs w:val="26"/>
        </w:rPr>
        <w:t>Ufficio Stampa Accenture</w:t>
      </w:r>
    </w:p>
    <w:p w:rsidR="00523B64" w:rsidRPr="00353BC0" w:rsidRDefault="00523B64" w:rsidP="00523B64">
      <w:pPr>
        <w:rPr>
          <w:rFonts w:cs="Arial"/>
          <w:bCs/>
          <w:color w:val="000000"/>
          <w:sz w:val="26"/>
          <w:szCs w:val="26"/>
        </w:rPr>
      </w:pPr>
      <w:r w:rsidRPr="00353BC0">
        <w:rPr>
          <w:rFonts w:cs="Arial"/>
          <w:bCs/>
          <w:color w:val="000000"/>
          <w:sz w:val="26"/>
          <w:szCs w:val="26"/>
        </w:rPr>
        <w:t>Samuela Marti</w:t>
      </w:r>
    </w:p>
    <w:p w:rsidR="00523B64" w:rsidRPr="002E0F24" w:rsidRDefault="00523B64" w:rsidP="00523B64">
      <w:pPr>
        <w:rPr>
          <w:rFonts w:cs="Arial"/>
          <w:bCs/>
          <w:color w:val="000000"/>
          <w:sz w:val="26"/>
          <w:szCs w:val="26"/>
        </w:rPr>
      </w:pPr>
      <w:r w:rsidRPr="00353BC0">
        <w:rPr>
          <w:rFonts w:cs="Arial"/>
          <w:bCs/>
          <w:color w:val="000000"/>
          <w:sz w:val="26"/>
          <w:szCs w:val="26"/>
        </w:rPr>
        <w:t>tel. 02/77758577</w:t>
      </w:r>
      <w:r w:rsidR="00FF4E44">
        <w:rPr>
          <w:rFonts w:cs="Arial"/>
          <w:bCs/>
          <w:color w:val="000000"/>
          <w:sz w:val="26"/>
          <w:szCs w:val="26"/>
        </w:rPr>
        <w:t xml:space="preserve"> </w:t>
      </w:r>
      <w:r w:rsidRPr="002E0F24">
        <w:rPr>
          <w:rFonts w:cs="Arial"/>
          <w:bCs/>
          <w:color w:val="000000"/>
          <w:sz w:val="26"/>
          <w:szCs w:val="26"/>
        </w:rPr>
        <w:t>mob. 329/1595781</w:t>
      </w:r>
    </w:p>
    <w:p w:rsidR="00FF4E44" w:rsidRPr="002E0F24" w:rsidRDefault="002D623C" w:rsidP="00523B64">
      <w:pPr>
        <w:rPr>
          <w:rStyle w:val="Hyperlink"/>
          <w:rFonts w:cs="Arial"/>
          <w:sz w:val="26"/>
          <w:szCs w:val="26"/>
        </w:rPr>
      </w:pPr>
      <w:hyperlink r:id="rId14" w:history="1">
        <w:r w:rsidR="00523B64" w:rsidRPr="002E0F24">
          <w:rPr>
            <w:rStyle w:val="Hyperlink"/>
            <w:rFonts w:cs="Arial"/>
            <w:sz w:val="26"/>
            <w:szCs w:val="26"/>
          </w:rPr>
          <w:t>samuela.marti@accenture.com</w:t>
        </w:r>
      </w:hyperlink>
      <w:r w:rsidR="00FF4E44" w:rsidRPr="002E0F24">
        <w:rPr>
          <w:rStyle w:val="Hyperlink"/>
          <w:rFonts w:cs="Arial"/>
          <w:sz w:val="26"/>
          <w:szCs w:val="26"/>
        </w:rPr>
        <w:t xml:space="preserve"> </w:t>
      </w:r>
    </w:p>
    <w:p w:rsidR="0089623F" w:rsidRPr="002E0F24" w:rsidRDefault="002D623C" w:rsidP="00523B64">
      <w:pPr>
        <w:rPr>
          <w:color w:val="0563C1"/>
          <w:sz w:val="26"/>
          <w:szCs w:val="26"/>
          <w:u w:val="single"/>
        </w:rPr>
      </w:pPr>
      <w:hyperlink r:id="rId15" w:history="1">
        <w:r w:rsidR="00523B64" w:rsidRPr="002E0F24">
          <w:rPr>
            <w:rStyle w:val="Hyperlink"/>
            <w:rFonts w:cs="Arial"/>
            <w:sz w:val="26"/>
            <w:szCs w:val="26"/>
          </w:rPr>
          <w:t>accenture.stampa@accenture.com</w:t>
        </w:r>
      </w:hyperlink>
    </w:p>
    <w:sectPr w:rsidR="0089623F" w:rsidRPr="002E0F24" w:rsidSect="0032128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23C" w:rsidRDefault="002D623C" w:rsidP="00FF4E44">
      <w:r>
        <w:separator/>
      </w:r>
    </w:p>
  </w:endnote>
  <w:endnote w:type="continuationSeparator" w:id="0">
    <w:p w:rsidR="002D623C" w:rsidRDefault="002D623C" w:rsidP="00FF4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23C" w:rsidRDefault="002D623C" w:rsidP="00FF4E44">
      <w:r>
        <w:separator/>
      </w:r>
    </w:p>
  </w:footnote>
  <w:footnote w:type="continuationSeparator" w:id="0">
    <w:p w:rsidR="002D623C" w:rsidRDefault="002D623C" w:rsidP="00FF4E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A4EB242"/>
    <w:name w:val="WW8Num1"/>
    <w:lvl w:ilvl="0">
      <w:start w:val="1"/>
      <w:numFmt w:val="decimal"/>
      <w:lvlText w:val="%1)"/>
      <w:lvlJc w:val="left"/>
      <w:pPr>
        <w:tabs>
          <w:tab w:val="num" w:pos="0"/>
        </w:tabs>
        <w:ind w:left="720" w:hanging="360"/>
      </w:pPr>
      <w:rPr>
        <w:rFonts w:cs="Arial"/>
        <w:b/>
        <w:color w:val="FF0066"/>
        <w:sz w:val="2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BCF"/>
    <w:rsid w:val="000540AF"/>
    <w:rsid w:val="000871F7"/>
    <w:rsid w:val="00172981"/>
    <w:rsid w:val="0020758E"/>
    <w:rsid w:val="002746DD"/>
    <w:rsid w:val="002A5CA9"/>
    <w:rsid w:val="002D623C"/>
    <w:rsid w:val="002E0F24"/>
    <w:rsid w:val="002F2E81"/>
    <w:rsid w:val="00321288"/>
    <w:rsid w:val="00353BC0"/>
    <w:rsid w:val="003E2D9A"/>
    <w:rsid w:val="004301DC"/>
    <w:rsid w:val="004472EB"/>
    <w:rsid w:val="00470521"/>
    <w:rsid w:val="004935BE"/>
    <w:rsid w:val="00523B64"/>
    <w:rsid w:val="00651659"/>
    <w:rsid w:val="00663B48"/>
    <w:rsid w:val="006823A6"/>
    <w:rsid w:val="006A7783"/>
    <w:rsid w:val="006C4777"/>
    <w:rsid w:val="007504EB"/>
    <w:rsid w:val="007839FF"/>
    <w:rsid w:val="0089623F"/>
    <w:rsid w:val="0095699B"/>
    <w:rsid w:val="009C1D88"/>
    <w:rsid w:val="00AF3E4A"/>
    <w:rsid w:val="00B34856"/>
    <w:rsid w:val="00B67A36"/>
    <w:rsid w:val="00BC4BB9"/>
    <w:rsid w:val="00C722C8"/>
    <w:rsid w:val="00CD2FE0"/>
    <w:rsid w:val="00D9370A"/>
    <w:rsid w:val="00DB60F4"/>
    <w:rsid w:val="00E235CC"/>
    <w:rsid w:val="00E61BCF"/>
    <w:rsid w:val="00E749E1"/>
    <w:rsid w:val="00EB3EC4"/>
    <w:rsid w:val="00F834DA"/>
    <w:rsid w:val="00F85F08"/>
    <w:rsid w:val="00FC3543"/>
    <w:rsid w:val="00FF4E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23B64"/>
    <w:rPr>
      <w:color w:val="0563C1"/>
      <w:u w:val="single"/>
    </w:rPr>
  </w:style>
  <w:style w:type="paragraph" w:customStyle="1" w:styleId="ListParagraph1">
    <w:name w:val="List Paragraph1"/>
    <w:basedOn w:val="Normal"/>
    <w:rsid w:val="00523B64"/>
    <w:pPr>
      <w:widowControl w:val="0"/>
      <w:suppressAutoHyphens/>
      <w:ind w:left="720"/>
    </w:pPr>
    <w:rPr>
      <w:rFonts w:ascii="Times New Roman" w:eastAsia="SimSun" w:hAnsi="Times New Roman" w:cs="Mangal"/>
      <w:kern w:val="1"/>
      <w:lang w:eastAsia="hi-IN" w:bidi="hi-IN"/>
    </w:rPr>
  </w:style>
  <w:style w:type="character" w:styleId="CommentReference">
    <w:name w:val="annotation reference"/>
    <w:basedOn w:val="DefaultParagraphFont"/>
    <w:uiPriority w:val="99"/>
    <w:semiHidden/>
    <w:unhideWhenUsed/>
    <w:rsid w:val="00C722C8"/>
    <w:rPr>
      <w:sz w:val="16"/>
      <w:szCs w:val="16"/>
    </w:rPr>
  </w:style>
  <w:style w:type="paragraph" w:styleId="CommentText">
    <w:name w:val="annotation text"/>
    <w:basedOn w:val="Normal"/>
    <w:link w:val="CommentTextChar"/>
    <w:uiPriority w:val="99"/>
    <w:semiHidden/>
    <w:unhideWhenUsed/>
    <w:rsid w:val="00C722C8"/>
    <w:rPr>
      <w:sz w:val="20"/>
      <w:szCs w:val="20"/>
    </w:rPr>
  </w:style>
  <w:style w:type="character" w:customStyle="1" w:styleId="CommentTextChar">
    <w:name w:val="Comment Text Char"/>
    <w:basedOn w:val="DefaultParagraphFont"/>
    <w:link w:val="CommentText"/>
    <w:uiPriority w:val="99"/>
    <w:semiHidden/>
    <w:rsid w:val="00C722C8"/>
    <w:rPr>
      <w:sz w:val="20"/>
      <w:szCs w:val="20"/>
    </w:rPr>
  </w:style>
  <w:style w:type="paragraph" w:styleId="CommentSubject">
    <w:name w:val="annotation subject"/>
    <w:basedOn w:val="CommentText"/>
    <w:next w:val="CommentText"/>
    <w:link w:val="CommentSubjectChar"/>
    <w:uiPriority w:val="99"/>
    <w:semiHidden/>
    <w:unhideWhenUsed/>
    <w:rsid w:val="00C722C8"/>
    <w:rPr>
      <w:b/>
      <w:bCs/>
    </w:rPr>
  </w:style>
  <w:style w:type="character" w:customStyle="1" w:styleId="CommentSubjectChar">
    <w:name w:val="Comment Subject Char"/>
    <w:basedOn w:val="CommentTextChar"/>
    <w:link w:val="CommentSubject"/>
    <w:uiPriority w:val="99"/>
    <w:semiHidden/>
    <w:rsid w:val="00C722C8"/>
    <w:rPr>
      <w:b/>
      <w:bCs/>
      <w:sz w:val="20"/>
      <w:szCs w:val="20"/>
    </w:rPr>
  </w:style>
  <w:style w:type="paragraph" w:styleId="BalloonText">
    <w:name w:val="Balloon Text"/>
    <w:basedOn w:val="Normal"/>
    <w:link w:val="BalloonTextChar"/>
    <w:uiPriority w:val="99"/>
    <w:semiHidden/>
    <w:unhideWhenUsed/>
    <w:rsid w:val="00C722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22C8"/>
    <w:rPr>
      <w:rFonts w:ascii="Segoe UI" w:hAnsi="Segoe UI" w:cs="Segoe UI"/>
      <w:sz w:val="18"/>
      <w:szCs w:val="18"/>
    </w:rPr>
  </w:style>
  <w:style w:type="paragraph" w:styleId="Header">
    <w:name w:val="header"/>
    <w:basedOn w:val="Normal"/>
    <w:link w:val="HeaderChar"/>
    <w:uiPriority w:val="99"/>
    <w:unhideWhenUsed/>
    <w:rsid w:val="00FF4E44"/>
    <w:pPr>
      <w:tabs>
        <w:tab w:val="center" w:pos="4819"/>
        <w:tab w:val="right" w:pos="9638"/>
      </w:tabs>
    </w:pPr>
  </w:style>
  <w:style w:type="character" w:customStyle="1" w:styleId="HeaderChar">
    <w:name w:val="Header Char"/>
    <w:basedOn w:val="DefaultParagraphFont"/>
    <w:link w:val="Header"/>
    <w:uiPriority w:val="99"/>
    <w:rsid w:val="00FF4E44"/>
  </w:style>
  <w:style w:type="paragraph" w:styleId="Footer">
    <w:name w:val="footer"/>
    <w:basedOn w:val="Normal"/>
    <w:link w:val="FooterChar"/>
    <w:uiPriority w:val="99"/>
    <w:unhideWhenUsed/>
    <w:rsid w:val="00FF4E44"/>
    <w:pPr>
      <w:tabs>
        <w:tab w:val="center" w:pos="4819"/>
        <w:tab w:val="right" w:pos="9638"/>
      </w:tabs>
    </w:pPr>
  </w:style>
  <w:style w:type="character" w:customStyle="1" w:styleId="FooterChar">
    <w:name w:val="Footer Char"/>
    <w:basedOn w:val="DefaultParagraphFont"/>
    <w:link w:val="Footer"/>
    <w:uiPriority w:val="99"/>
    <w:rsid w:val="00FF4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witter.com/fjor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accentureitalia?lang=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ideshare.net/fjordnet" TargetMode="External"/><Relationship Id="rId5" Type="http://schemas.openxmlformats.org/officeDocument/2006/relationships/webSettings" Target="webSettings.xml"/><Relationship Id="rId15" Type="http://schemas.openxmlformats.org/officeDocument/2006/relationships/hyperlink" Target="mailto:accenture.stampa@accenture.com" TargetMode="External"/><Relationship Id="rId10" Type="http://schemas.openxmlformats.org/officeDocument/2006/relationships/hyperlink" Target="http://trends.fjordnet.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amuela.marti@accenture.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907B075-DD4A-485A-A2C4-60EC883F4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915</Words>
  <Characters>5220</Characters>
  <Application>Microsoft Office Word</Application>
  <DocSecurity>0</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Accenture</Company>
  <LinksUpToDate>false</LinksUpToDate>
  <CharactersWithSpaces>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Marti, Samuela</cp:lastModifiedBy>
  <cp:revision>2</cp:revision>
  <dcterms:created xsi:type="dcterms:W3CDTF">2016-09-29T12:23:00Z</dcterms:created>
  <dcterms:modified xsi:type="dcterms:W3CDTF">2016-09-29T12:23:00Z</dcterms:modified>
</cp:coreProperties>
</file>